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20" w:rsidRPr="00683CC2" w:rsidRDefault="00E81720" w:rsidP="00E81720">
      <w:pPr>
        <w:widowControl/>
        <w:shd w:val="clear" w:color="auto" w:fill="FFFFFF"/>
        <w:spacing w:line="432" w:lineRule="atLeast"/>
        <w:jc w:val="center"/>
        <w:rPr>
          <w:rFonts w:ascii="宋体" w:eastAsia="宋体" w:hAnsi="宋体" w:cs="宋体"/>
          <w:color w:val="333333"/>
          <w:kern w:val="0"/>
          <w:sz w:val="24"/>
          <w:szCs w:val="24"/>
        </w:rPr>
      </w:pPr>
      <w:r w:rsidRPr="00683CC2">
        <w:rPr>
          <w:rFonts w:ascii="宋体" w:eastAsia="宋体" w:hAnsi="宋体" w:cs="宋体" w:hint="eastAsia"/>
          <w:b/>
          <w:bCs/>
          <w:color w:val="333333"/>
          <w:kern w:val="0"/>
          <w:sz w:val="36"/>
          <w:szCs w:val="36"/>
        </w:rPr>
        <w:t xml:space="preserve">重 点 任 </w:t>
      </w:r>
      <w:proofErr w:type="gramStart"/>
      <w:r w:rsidRPr="00683CC2">
        <w:rPr>
          <w:rFonts w:ascii="宋体" w:eastAsia="宋体" w:hAnsi="宋体" w:cs="宋体" w:hint="eastAsia"/>
          <w:b/>
          <w:bCs/>
          <w:color w:val="333333"/>
          <w:kern w:val="0"/>
          <w:sz w:val="36"/>
          <w:szCs w:val="36"/>
        </w:rPr>
        <w:t>务</w:t>
      </w:r>
      <w:proofErr w:type="gramEnd"/>
      <w:r w:rsidRPr="00683CC2">
        <w:rPr>
          <w:rFonts w:ascii="宋体" w:eastAsia="宋体" w:hAnsi="宋体" w:cs="宋体" w:hint="eastAsia"/>
          <w:b/>
          <w:bCs/>
          <w:color w:val="333333"/>
          <w:kern w:val="0"/>
          <w:sz w:val="36"/>
          <w:szCs w:val="36"/>
        </w:rPr>
        <w:t xml:space="preserve"> 分 工</w:t>
      </w:r>
    </w:p>
    <w:p w:rsidR="00E81720" w:rsidRPr="00683CC2" w:rsidRDefault="00E81720" w:rsidP="00E81720">
      <w:pPr>
        <w:widowControl/>
        <w:shd w:val="clear" w:color="auto" w:fill="FFFFFF"/>
        <w:spacing w:line="432" w:lineRule="atLeast"/>
        <w:jc w:val="center"/>
        <w:rPr>
          <w:rFonts w:ascii="宋体" w:eastAsia="宋体" w:hAnsi="宋体" w:cs="宋体"/>
          <w:color w:val="333333"/>
          <w:kern w:val="0"/>
          <w:sz w:val="24"/>
          <w:szCs w:val="24"/>
        </w:rPr>
      </w:pPr>
    </w:p>
    <w:tbl>
      <w:tblPr>
        <w:tblW w:w="0" w:type="auto"/>
        <w:tblCellSpacing w:w="0" w:type="dxa"/>
        <w:tblCellMar>
          <w:left w:w="0" w:type="dxa"/>
          <w:right w:w="0" w:type="dxa"/>
        </w:tblCellMar>
        <w:tblLook w:val="04A0" w:firstRow="1" w:lastRow="0" w:firstColumn="1" w:lastColumn="0" w:noHBand="0" w:noVBand="1"/>
      </w:tblPr>
      <w:tblGrid>
        <w:gridCol w:w="447"/>
        <w:gridCol w:w="1108"/>
        <w:gridCol w:w="2944"/>
        <w:gridCol w:w="4053"/>
      </w:tblGrid>
      <w:tr w:rsidR="00E81720" w:rsidRPr="00683CC2" w:rsidTr="001663B5">
        <w:trPr>
          <w:tblCellSpacing w:w="0" w:type="dxa"/>
        </w:trPr>
        <w:tc>
          <w:tcPr>
            <w:tcW w:w="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b/>
                <w:bCs/>
                <w:color w:val="000000"/>
                <w:kern w:val="0"/>
                <w:sz w:val="20"/>
                <w:szCs w:val="20"/>
              </w:rPr>
              <w:t>序号</w:t>
            </w:r>
          </w:p>
        </w:tc>
        <w:tc>
          <w:tcPr>
            <w:tcW w:w="1108" w:type="dxa"/>
            <w:tcBorders>
              <w:top w:val="single" w:sz="6" w:space="0" w:color="000000"/>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b/>
                <w:bCs/>
                <w:color w:val="000000"/>
                <w:kern w:val="0"/>
                <w:sz w:val="20"/>
                <w:szCs w:val="20"/>
              </w:rPr>
              <w:t>工作任务</w:t>
            </w:r>
          </w:p>
        </w:tc>
        <w:tc>
          <w:tcPr>
            <w:tcW w:w="2944" w:type="dxa"/>
            <w:tcBorders>
              <w:top w:val="single" w:sz="6" w:space="0" w:color="000000"/>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b/>
                <w:bCs/>
                <w:color w:val="000000"/>
                <w:kern w:val="0"/>
                <w:sz w:val="20"/>
                <w:szCs w:val="20"/>
              </w:rPr>
              <w:t>主要内容</w:t>
            </w:r>
          </w:p>
        </w:tc>
        <w:tc>
          <w:tcPr>
            <w:tcW w:w="4053" w:type="dxa"/>
            <w:tcBorders>
              <w:top w:val="single" w:sz="6" w:space="0" w:color="000000"/>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b/>
                <w:bCs/>
                <w:color w:val="000000"/>
                <w:kern w:val="0"/>
                <w:sz w:val="20"/>
                <w:szCs w:val="20"/>
              </w:rPr>
              <w:t>责任单位</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1</w:t>
            </w:r>
          </w:p>
        </w:tc>
        <w:tc>
          <w:tcPr>
            <w:tcW w:w="1108" w:type="dxa"/>
            <w:vMerge w:val="restar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构建教育和产业统筹融合发展格局</w:t>
            </w: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同步规划产教融合与经济社会发展。</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国家发展改革委会同有关部门，各省级人民政府</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2</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统筹职业教育与区域发展布局。</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教育部、国家发展改革委、人力资源社会保障部，各省级人民政府</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3</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促进高等教育融入国家创新体系和新型城镇化建设。</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教育部、国家发展改革委、科技部，有关省级人民政府</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4</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推动学科专业建设与产业转型升级相适应。建立紧密对接产业链、创新链的学科专业体系。加快推进新工科建设。</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教育部、国家发展改革委会同有关部门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5</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健全需求导向的人才培养结构调整机制。严格实行专业预警和退出机制。</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教育部会同有关部门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6</w:t>
            </w:r>
          </w:p>
        </w:tc>
        <w:tc>
          <w:tcPr>
            <w:tcW w:w="1108" w:type="dxa"/>
            <w:vMerge w:val="restar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强化企业重要主体作用</w:t>
            </w: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鼓励企业以独资、合资、合作等方式依法参与举办职业教育、高等教育。坚持准入条件透明化、审批范围最小化，细化标准、简化流程、优化服务，</w:t>
            </w:r>
            <w:r w:rsidRPr="00683CC2">
              <w:rPr>
                <w:rFonts w:ascii="宋体" w:eastAsia="宋体" w:hAnsi="宋体" w:cs="宋体" w:hint="eastAsia"/>
                <w:color w:val="000000"/>
                <w:kern w:val="0"/>
                <w:sz w:val="20"/>
                <w:szCs w:val="20"/>
              </w:rPr>
              <w:lastRenderedPageBreak/>
              <w:t>改进办学准入条件和审批环节。</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lastRenderedPageBreak/>
              <w:t>教育部会同有关部门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lastRenderedPageBreak/>
              <w:t>7</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鼓励有条件的地区探索推进职业学校股份制、混合所有制改革，允许企业以资本、技术、管理等要素依法参与办学并享有相应权利。</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有关省级人民政府</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8</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深化“引企入教”改革，促进企业需求融入人才培养环节。</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教育部、人力资源社会保障部、工业和信息化部会同有关部门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9</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健全学生到企业实习实训制度，推进实习实训规范化。</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教育部、国家发展改革委、人力资源社会保障部会同有关部门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10</w:t>
            </w:r>
          </w:p>
        </w:tc>
        <w:tc>
          <w:tcPr>
            <w:tcW w:w="1108" w:type="dxa"/>
            <w:vMerge w:val="restar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强化企业重要主体作用</w:t>
            </w: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教育部、科技部会同有关部门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11</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继续加强企业技术中心和高校技术创新平台建设，鼓励企业</w:t>
            </w:r>
            <w:r w:rsidRPr="00683CC2">
              <w:rPr>
                <w:rFonts w:ascii="宋体" w:eastAsia="宋体" w:hAnsi="宋体" w:cs="宋体" w:hint="eastAsia"/>
                <w:color w:val="000000"/>
                <w:kern w:val="0"/>
                <w:sz w:val="20"/>
                <w:szCs w:val="20"/>
              </w:rPr>
              <w:lastRenderedPageBreak/>
              <w:t>和高校共建产业技术实验室、中试和工程化基地。利用产业投资基金支持高校创新成果和核心技术产业化。</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lastRenderedPageBreak/>
              <w:t>国家发展改革委、教育部、科技部、财政部会同有关部门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lastRenderedPageBreak/>
              <w:t>12</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强化企业职工在岗教育培训。</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全国总工会、人力资源社会保障部会同有关部门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13</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鼓励区域、行业骨干企业联合职业学校、高等学校共同组建产教融合集团（联盟），带动中小企业参与，推进实体化运作。</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有关部门和行业协会，各省级人民政府</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14</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注重发挥国有企业特别是中央企业示范带头作用，支持各类企业依法参与校企合作。</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国务院国资委、全国工商联</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15</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结合推进国有企业改革，支持有条件的国有企业继续办好做强职业学校。</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国务院国资委、国家发展改革委、财政部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16</w:t>
            </w:r>
          </w:p>
        </w:tc>
        <w:tc>
          <w:tcPr>
            <w:tcW w:w="1108" w:type="dxa"/>
            <w:vMerge w:val="restar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推进产教融合人才培养改革</w:t>
            </w: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将工匠精神培育融入基础教育。深化全日制职业学校办学体制改革，在技术性、实践性较强的专业，全面推行现代学徒制和企业新型学徒制。</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教育部、人力资源社会保障部、国家发展改革委、全国总工会会同有关部门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lastRenderedPageBreak/>
              <w:t>17</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健全高等教育学术人才和应用人才分类培养体系，提高应用型人才培养比重。</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教育部、国家发展改革委会同有关部门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18</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加强产教融合师资队伍建设。支持企业技术和管理人才到学校任教，鼓励有条件的地方探索产业教师（导师）特设岗位计划。</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教育部，各省级人民政府</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19</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适度提高高等学校招收职业教育毕业生比例，建立复合型、创新型技术技能人才系统培养制度。逐步提高高等学校招收有工作实践经历人员的比例。</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教育部会同有关部门</w:t>
            </w:r>
          </w:p>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 </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20</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加快学校治理结构改革。创新教育培训服务供给。</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教育部会同有关部门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21</w:t>
            </w:r>
          </w:p>
        </w:tc>
        <w:tc>
          <w:tcPr>
            <w:tcW w:w="1108"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促进产教供需双向对接</w:t>
            </w: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强化行业协调指导。规范发展市场服务组织。打造信息服务平台。健全社会第三方评价。</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国家发展改革委、教育部、有关部门和行业协会，有关省级人民政府</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22</w:t>
            </w:r>
          </w:p>
        </w:tc>
        <w:tc>
          <w:tcPr>
            <w:tcW w:w="1108" w:type="dxa"/>
            <w:vMerge w:val="restart"/>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完善政策支持体系</w:t>
            </w: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实施产教融合发展工程。</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国家发展改革委、教育部、人力资源社会保障部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23</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落实财税用地等政策。</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财政部、税务总局、国土资源部、国家发展改革委，各省级人民政府</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lastRenderedPageBreak/>
              <w:t>24</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强化金融支持。</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人民银行、银监会、证监会、保监会、国家发展改革委、财政部</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25</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开展产教融合建设试点。</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国家发展改革委、教育部会同有关部门，各省级人民政府</w:t>
            </w:r>
          </w:p>
        </w:tc>
      </w:tr>
      <w:tr w:rsidR="00E81720" w:rsidRPr="00683CC2" w:rsidTr="001663B5">
        <w:trPr>
          <w:tblCellSpacing w:w="0" w:type="dxa"/>
        </w:trPr>
        <w:tc>
          <w:tcPr>
            <w:tcW w:w="447" w:type="dxa"/>
            <w:tcBorders>
              <w:top w:val="single" w:sz="6"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jc w:val="center"/>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26</w:t>
            </w:r>
          </w:p>
        </w:tc>
        <w:tc>
          <w:tcPr>
            <w:tcW w:w="0" w:type="auto"/>
            <w:vMerge/>
            <w:tcBorders>
              <w:top w:val="single" w:sz="6" w:space="0" w:color="auto"/>
              <w:left w:val="single" w:sz="6" w:space="0" w:color="auto"/>
              <w:bottom w:val="single" w:sz="6" w:space="0" w:color="000000"/>
              <w:right w:val="single" w:sz="6" w:space="0" w:color="000000"/>
            </w:tcBorders>
            <w:vAlign w:val="center"/>
            <w:hideMark/>
          </w:tcPr>
          <w:p w:rsidR="00E81720" w:rsidRPr="00683CC2" w:rsidRDefault="00E81720" w:rsidP="001663B5">
            <w:pPr>
              <w:widowControl/>
              <w:jc w:val="left"/>
              <w:rPr>
                <w:rFonts w:ascii="Calibri" w:eastAsia="宋体" w:hAnsi="Calibri" w:cs="宋体"/>
                <w:color w:val="000000"/>
                <w:kern w:val="0"/>
                <w:szCs w:val="21"/>
              </w:rPr>
            </w:pPr>
          </w:p>
        </w:tc>
        <w:tc>
          <w:tcPr>
            <w:tcW w:w="2944"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加强国际交流合作。</w:t>
            </w:r>
          </w:p>
        </w:tc>
        <w:tc>
          <w:tcPr>
            <w:tcW w:w="4053" w:type="dxa"/>
            <w:tcBorders>
              <w:top w:val="single" w:sz="6" w:space="0" w:color="auto"/>
              <w:left w:val="single" w:sz="6" w:space="0" w:color="auto"/>
              <w:bottom w:val="single" w:sz="6" w:space="0" w:color="000000"/>
              <w:right w:val="single" w:sz="6" w:space="0" w:color="000000"/>
            </w:tcBorders>
            <w:tcMar>
              <w:top w:w="0" w:type="dxa"/>
              <w:left w:w="108" w:type="dxa"/>
              <w:bottom w:w="0" w:type="dxa"/>
              <w:right w:w="108" w:type="dxa"/>
            </w:tcMar>
            <w:vAlign w:val="center"/>
            <w:hideMark/>
          </w:tcPr>
          <w:p w:rsidR="00E81720" w:rsidRPr="00683CC2" w:rsidRDefault="00E81720" w:rsidP="001663B5">
            <w:pPr>
              <w:widowControl/>
              <w:spacing w:line="480" w:lineRule="auto"/>
              <w:rPr>
                <w:rFonts w:ascii="Calibri" w:eastAsia="宋体" w:hAnsi="Calibri" w:cs="宋体"/>
                <w:color w:val="000000"/>
                <w:kern w:val="0"/>
                <w:szCs w:val="21"/>
              </w:rPr>
            </w:pPr>
            <w:r w:rsidRPr="00683CC2">
              <w:rPr>
                <w:rFonts w:ascii="宋体" w:eastAsia="宋体" w:hAnsi="宋体" w:cs="宋体" w:hint="eastAsia"/>
                <w:color w:val="000000"/>
                <w:kern w:val="0"/>
                <w:sz w:val="20"/>
                <w:szCs w:val="20"/>
              </w:rPr>
              <w:t>教育部会同有关部门</w:t>
            </w:r>
          </w:p>
        </w:tc>
      </w:tr>
    </w:tbl>
    <w:p w:rsidR="00334DBC" w:rsidRPr="00E81720" w:rsidRDefault="00334DBC">
      <w:pPr>
        <w:rPr>
          <w:rFonts w:ascii="微软雅黑" w:eastAsia="微软雅黑" w:hAnsi="微软雅黑"/>
        </w:rPr>
      </w:pPr>
      <w:bookmarkStart w:id="0" w:name="_GoBack"/>
      <w:bookmarkEnd w:id="0"/>
    </w:p>
    <w:sectPr w:rsidR="00334DBC" w:rsidRPr="00E81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4B" w:rsidRDefault="00ED5A4B" w:rsidP="00E81720">
      <w:r>
        <w:separator/>
      </w:r>
    </w:p>
  </w:endnote>
  <w:endnote w:type="continuationSeparator" w:id="0">
    <w:p w:rsidR="00ED5A4B" w:rsidRDefault="00ED5A4B" w:rsidP="00E8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4B" w:rsidRDefault="00ED5A4B" w:rsidP="00E81720">
      <w:r>
        <w:separator/>
      </w:r>
    </w:p>
  </w:footnote>
  <w:footnote w:type="continuationSeparator" w:id="0">
    <w:p w:rsidR="00ED5A4B" w:rsidRDefault="00ED5A4B" w:rsidP="00E81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17"/>
    <w:rsid w:val="0004157A"/>
    <w:rsid w:val="000B3A71"/>
    <w:rsid w:val="000E77DA"/>
    <w:rsid w:val="001D021F"/>
    <w:rsid w:val="00243F17"/>
    <w:rsid w:val="00334DBC"/>
    <w:rsid w:val="00AE3723"/>
    <w:rsid w:val="00B72022"/>
    <w:rsid w:val="00C40FE5"/>
    <w:rsid w:val="00D923C8"/>
    <w:rsid w:val="00DA260C"/>
    <w:rsid w:val="00E81720"/>
    <w:rsid w:val="00ED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7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7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720"/>
    <w:rPr>
      <w:sz w:val="18"/>
      <w:szCs w:val="18"/>
    </w:rPr>
  </w:style>
  <w:style w:type="paragraph" w:styleId="a4">
    <w:name w:val="footer"/>
    <w:basedOn w:val="a"/>
    <w:link w:val="Char0"/>
    <w:uiPriority w:val="99"/>
    <w:unhideWhenUsed/>
    <w:rsid w:val="00E81720"/>
    <w:pPr>
      <w:tabs>
        <w:tab w:val="center" w:pos="4153"/>
        <w:tab w:val="right" w:pos="8306"/>
      </w:tabs>
      <w:snapToGrid w:val="0"/>
      <w:jc w:val="left"/>
    </w:pPr>
    <w:rPr>
      <w:sz w:val="18"/>
      <w:szCs w:val="18"/>
    </w:rPr>
  </w:style>
  <w:style w:type="character" w:customStyle="1" w:styleId="Char0">
    <w:name w:val="页脚 Char"/>
    <w:basedOn w:val="a0"/>
    <w:link w:val="a4"/>
    <w:uiPriority w:val="99"/>
    <w:rsid w:val="00E817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7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7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720"/>
    <w:rPr>
      <w:sz w:val="18"/>
      <w:szCs w:val="18"/>
    </w:rPr>
  </w:style>
  <w:style w:type="paragraph" w:styleId="a4">
    <w:name w:val="footer"/>
    <w:basedOn w:val="a"/>
    <w:link w:val="Char0"/>
    <w:uiPriority w:val="99"/>
    <w:unhideWhenUsed/>
    <w:rsid w:val="00E81720"/>
    <w:pPr>
      <w:tabs>
        <w:tab w:val="center" w:pos="4153"/>
        <w:tab w:val="right" w:pos="8306"/>
      </w:tabs>
      <w:snapToGrid w:val="0"/>
      <w:jc w:val="left"/>
    </w:pPr>
    <w:rPr>
      <w:sz w:val="18"/>
      <w:szCs w:val="18"/>
    </w:rPr>
  </w:style>
  <w:style w:type="character" w:customStyle="1" w:styleId="Char0">
    <w:name w:val="页脚 Char"/>
    <w:basedOn w:val="a0"/>
    <w:link w:val="a4"/>
    <w:uiPriority w:val="99"/>
    <w:rsid w:val="00E817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258</Words>
  <Characters>1477</Characters>
  <Application>Microsoft Office Word</Application>
  <DocSecurity>0</DocSecurity>
  <Lines>12</Lines>
  <Paragraphs>3</Paragraphs>
  <ScaleCrop>false</ScaleCrop>
  <Company>china</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黄云碧</dc:creator>
  <cp:keywords/>
  <dc:description/>
  <cp:lastModifiedBy>黄云碧</cp:lastModifiedBy>
  <cp:revision>2</cp:revision>
  <dcterms:created xsi:type="dcterms:W3CDTF">2018-01-27T03:00:00Z</dcterms:created>
  <dcterms:modified xsi:type="dcterms:W3CDTF">2018-01-27T03:03:00Z</dcterms:modified>
</cp:coreProperties>
</file>